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ind w:firstLine="2650" w:firstLineChars="6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江西开放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大学</w:t>
      </w:r>
    </w:p>
    <w:p>
      <w:pPr>
        <w:ind w:firstLine="1325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年第一季度能耗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分析报告</w:t>
      </w:r>
    </w:p>
    <w:p>
      <w:pPr>
        <w:spacing w:before="104" w:line="335" w:lineRule="auto"/>
        <w:ind w:left="27" w:right="368" w:firstLine="6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spacing w:before="104" w:line="335" w:lineRule="auto"/>
        <w:ind w:left="27" w:right="368" w:firstLine="6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年是全面贯彻落实党的二十大精神的开局之年，是实</w:t>
      </w:r>
      <w:r>
        <w:rPr>
          <w:rFonts w:hint="eastAsia" w:ascii="仿宋" w:hAnsi="仿宋" w:eastAsia="仿宋" w:cs="仿宋"/>
          <w:sz w:val="32"/>
          <w:szCs w:val="32"/>
        </w:rPr>
        <w:t>施“十四五”规划承前启后的关键一年。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坚持以习近平新时代中国特色社会主义思想为指导，深入学习贯彻党的二十大精神、习近平生态文明思想和习近平总书记视察江西重要讲话精神，全面落实党中央、国务院关于碳达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峰碳中和的决策部署和省委省政府工作安排,坚持政治引领，强</w:t>
      </w:r>
      <w:r>
        <w:rPr>
          <w:rFonts w:hint="eastAsia" w:ascii="仿宋" w:hAnsi="仿宋" w:eastAsia="仿宋" w:cs="仿宋"/>
          <w:sz w:val="32"/>
          <w:szCs w:val="32"/>
        </w:rPr>
        <w:t>化责任担当，不断加快推动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公共机构节能工作高质量发展，为打造美丽中国“江西样板”贡献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开大力量</w:t>
      </w:r>
      <w:r>
        <w:rPr>
          <w:rFonts w:hint="eastAsia" w:ascii="仿宋" w:hAnsi="仿宋" w:eastAsia="仿宋" w:cs="仿宋"/>
          <w:sz w:val="32"/>
          <w:szCs w:val="32"/>
        </w:rPr>
        <w:t>。现将20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年第一季度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全校</w:t>
      </w:r>
      <w:r>
        <w:rPr>
          <w:rFonts w:hint="eastAsia" w:ascii="仿宋" w:hAnsi="仿宋" w:eastAsia="仿宋" w:cs="仿宋"/>
          <w:sz w:val="32"/>
          <w:szCs w:val="32"/>
        </w:rPr>
        <w:t>能源消耗情况汇报如下：</w:t>
      </w:r>
    </w:p>
    <w:p>
      <w:pPr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一、能源资源统计工作情况</w:t>
      </w:r>
    </w:p>
    <w:p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（一）公共机构基本信息情况</w:t>
      </w:r>
    </w:p>
    <w:tbl>
      <w:tblPr>
        <w:tblStyle w:val="6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2001"/>
        <w:gridCol w:w="228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年、季度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单位建筑面积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（平方米）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用能人数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（个）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公务车数量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年一季度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119481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4224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2023年一季度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119481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5579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spacing w:line="560" w:lineRule="exact"/>
        <w:ind w:firstLine="560" w:firstLineChars="200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表1 公共机构基本信息情况表</w:t>
      </w:r>
    </w:p>
    <w:p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（二）单位能源资源消耗状况</w:t>
      </w:r>
    </w:p>
    <w:tbl>
      <w:tblPr>
        <w:tblStyle w:val="6"/>
        <w:tblW w:w="87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985"/>
        <w:gridCol w:w="1701"/>
        <w:gridCol w:w="1559"/>
        <w:gridCol w:w="1685"/>
      </w:tblGrid>
      <w:tr>
        <w:trPr>
          <w:trHeight w:val="69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firstLine="280" w:firstLineChars="100"/>
              <w:jc w:val="both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年、季度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firstLine="840" w:firstLineChars="300"/>
              <w:jc w:val="both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电</w:t>
            </w:r>
          </w:p>
          <w:p>
            <w:pPr>
              <w:pStyle w:val="5"/>
              <w:spacing w:before="0" w:beforeAutospacing="0" w:after="0" w:afterAutospacing="0" w:line="560" w:lineRule="exact"/>
              <w:ind w:firstLine="240" w:firstLineChars="100"/>
              <w:jc w:val="both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（万千瓦时）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firstLine="280" w:firstLineChars="100"/>
              <w:jc w:val="both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汽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油</w:t>
            </w:r>
          </w:p>
          <w:p>
            <w:pPr>
              <w:pStyle w:val="5"/>
              <w:spacing w:before="0" w:beforeAutospacing="0" w:after="0" w:afterAutospacing="0" w:line="560" w:lineRule="exact"/>
              <w:ind w:firstLine="240" w:firstLineChars="100"/>
              <w:jc w:val="both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（万升）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firstLine="560" w:firstLineChars="200"/>
              <w:jc w:val="both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水</w:t>
            </w:r>
          </w:p>
          <w:p>
            <w:pPr>
              <w:pStyle w:val="5"/>
              <w:spacing w:before="0" w:beforeAutospacing="0" w:after="0" w:afterAutospacing="0" w:line="560" w:lineRule="exact"/>
              <w:ind w:firstLine="240" w:firstLineChars="100"/>
              <w:jc w:val="both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（万吨）</w:t>
            </w:r>
          </w:p>
        </w:tc>
        <w:tc>
          <w:tcPr>
            <w:tcW w:w="1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280" w:firstLineChars="100"/>
              <w:jc w:val="both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柴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油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万升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年一季度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72.92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0.133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6.35</w:t>
            </w:r>
          </w:p>
        </w:tc>
        <w:tc>
          <w:tcPr>
            <w:tcW w:w="1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firstLine="560" w:firstLineChars="200"/>
              <w:jc w:val="both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0.015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2023年一季度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57.70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0.143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8.3</w:t>
            </w:r>
          </w:p>
        </w:tc>
        <w:tc>
          <w:tcPr>
            <w:tcW w:w="1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560" w:firstLineChars="200"/>
              <w:jc w:val="both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0.007</w:t>
            </w:r>
          </w:p>
        </w:tc>
      </w:tr>
    </w:tbl>
    <w:p>
      <w:pPr>
        <w:spacing w:line="5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表2 单位能源消耗总量分类构成表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统计，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</w:rPr>
        <w:t>一季度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量同比下降20.87%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、用汽油量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7.52%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用水量同比上升30.71%，柴油同比下降53.33%。</w:t>
      </w:r>
    </w:p>
    <w:tbl>
      <w:tblPr>
        <w:tblStyle w:val="6"/>
        <w:tblW w:w="9073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268"/>
        <w:gridCol w:w="141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年、季度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消耗总量（吨标煤）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电（吨标煤）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汽油（吨标煤）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柴油（吨标煤）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年一季度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91.248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89.618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1.429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0.201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2023年一季度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72.525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70.908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1.533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0.084</w:t>
            </w:r>
          </w:p>
        </w:tc>
      </w:tr>
    </w:tbl>
    <w:p>
      <w:pPr>
        <w:spacing w:line="5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表3单位能源消耗标准煤折算构成表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如图2和表3所示，学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年一季度的能源消耗标准煤折算状况：消耗总量标准煤折算为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72.525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吨标煤</w:t>
      </w:r>
      <w:r>
        <w:rPr>
          <w:rFonts w:hint="eastAsia" w:ascii="仿宋" w:hAnsi="仿宋" w:eastAsia="仿宋" w:cs="仿宋"/>
          <w:sz w:val="32"/>
          <w:szCs w:val="32"/>
        </w:rPr>
        <w:t>，同比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下降20.52</w:t>
      </w:r>
      <w:r>
        <w:rPr>
          <w:rFonts w:hint="eastAsia" w:ascii="仿宋" w:hAnsi="仿宋" w:eastAsia="仿宋" w:cs="仿宋"/>
          <w:sz w:val="32"/>
          <w:szCs w:val="32"/>
        </w:rPr>
        <w:t>%；用电量标准煤折算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70.908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吨标煤</w:t>
      </w:r>
      <w:r>
        <w:rPr>
          <w:rFonts w:hint="eastAsia" w:ascii="仿宋" w:hAnsi="仿宋" w:eastAsia="仿宋" w:cs="仿宋"/>
          <w:sz w:val="32"/>
          <w:szCs w:val="32"/>
        </w:rPr>
        <w:t>，同比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下降20.88</w:t>
      </w:r>
      <w:r>
        <w:rPr>
          <w:rFonts w:hint="eastAsia" w:ascii="仿宋" w:hAnsi="仿宋" w:eastAsia="仿宋" w:cs="仿宋"/>
          <w:sz w:val="32"/>
          <w:szCs w:val="32"/>
        </w:rPr>
        <w:t>%；汽油用量标准煤折算为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1.533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吨标煤</w:t>
      </w:r>
      <w:r>
        <w:rPr>
          <w:rFonts w:hint="eastAsia" w:ascii="仿宋" w:hAnsi="仿宋" w:eastAsia="仿宋" w:cs="仿宋"/>
          <w:sz w:val="32"/>
          <w:szCs w:val="32"/>
        </w:rPr>
        <w:t>，同比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7.28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，柴油用量标准煤折算为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0.201吨标煤，同比下降约58.21%。</w:t>
      </w:r>
      <w:r>
        <w:rPr>
          <w:rFonts w:hint="eastAsia" w:ascii="仿宋" w:hAnsi="仿宋" w:eastAsia="仿宋" w:cs="仿宋"/>
          <w:sz w:val="32"/>
          <w:szCs w:val="32"/>
        </w:rPr>
        <w:t>如图3和表4所示，与20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年相比人均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综合能耗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人均水耗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单位建筑面积能耗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同比下降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tbl>
      <w:tblPr>
        <w:tblStyle w:val="6"/>
        <w:tblW w:w="9073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6"/>
        <w:gridCol w:w="2143"/>
        <w:gridCol w:w="1857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年   月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人均综合能耗（吨标煤/人）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人均水耗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（吨/人）</w:t>
            </w: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单位建筑面积能耗（千克标煤/平方米）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2022年一季度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0.022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15.033</w:t>
            </w: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0.00075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2023年一季度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0.013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14.877</w:t>
            </w: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default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0.00061</w:t>
            </w:r>
          </w:p>
        </w:tc>
      </w:tr>
    </w:tbl>
    <w:p>
      <w:pPr>
        <w:spacing w:line="560" w:lineRule="exact"/>
        <w:ind w:firstLine="1120" w:firstLineChars="40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表4单位人均综合能耗、水耗和建筑面积能耗表</w:t>
      </w:r>
    </w:p>
    <w:p>
      <w:pPr>
        <w:spacing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一季度节能主要工作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一年之季在于春，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为进一步推进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节能降耗工作的有效性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学校党政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领导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高度重视，把学校</w:t>
      </w:r>
      <w:r>
        <w:rPr>
          <w:rFonts w:hint="eastAsia" w:ascii="仿宋" w:hAnsi="仿宋" w:eastAsia="仿宋" w:cs="仿宋"/>
          <w:sz w:val="32"/>
          <w:szCs w:val="32"/>
        </w:rPr>
        <w:t>节能工作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列</w:t>
      </w:r>
      <w:r>
        <w:rPr>
          <w:rFonts w:hint="eastAsia" w:ascii="仿宋" w:hAnsi="仿宋" w:eastAsia="仿宋" w:cs="仿宋"/>
          <w:sz w:val="32"/>
          <w:szCs w:val="32"/>
        </w:rPr>
        <w:t>为“常态化”管理，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让全校师生从思想上充分认识节约能源资源的重要性，结合学校实际，制定了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年度节能工作计划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和年度节约型机关创建责任书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春生万物，护绿先行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2023年3月12日是我国第45个全民义务植树节。为进一步落实习近平总书记对深入开展学雷锋活动作出的重要指示，传承弘扬雷锋精神，并引导大家关注绿化、关注环保、人人争做绿色使者。3月12日上午，在</w:t>
      </w:r>
      <w:r>
        <w:rPr>
          <w:rFonts w:hint="eastAsia" w:ascii="仿宋" w:hAnsi="仿宋" w:eastAsia="仿宋" w:cs="仿宋"/>
          <w:sz w:val="32"/>
          <w:szCs w:val="32"/>
        </w:rPr>
        <w:t>校团委与校园管理处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共同组织下，我校青年志愿者在江西开放大学西湖校区建筑工棚前方举办了“志愿添荫守护家园”植树节活动。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60" w:right="6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3月22至28日是第三十六届“中国水周”。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为深入贯彻落实党的二十大精神和习近平总书记“节水优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先、空间均衡、系统治理、两手发力”治水思路，大力推进国家节水行动，全面加强水资源节约高效利用，我校在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2"/>
          <w:szCs w:val="32"/>
          <w:shd w:val="clear" w:color="auto" w:fill="FFFFFF"/>
        </w:rPr>
        <w:t>“中国水周”期间，组织全校师生开展节水宣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2"/>
          <w:szCs w:val="32"/>
          <w:shd w:val="clear" w:color="auto" w:fill="FFFFFF"/>
        </w:rPr>
        <w:t>活动，将节水理念带进校园带进教室，积极营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造爱水、惜水、护水、节水浓厚氛围。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60" w:right="6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</w:rPr>
        <w:t>活动采取线上线下相结合方式，全面组织学生观看全国节水知识大赛启动仪式和《公民节约用水规范》宣传片，组织师生参与“百万网民学法律”水法规专场知识竞赛活动，全面普及水法知识。通过发放宣传资料、悬挂张贴节水宣传标语、解答师生咨询等形式，引导广大师生培养节水、爱水、科学用水的习惯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color="auto" w:fill="FFFFFF"/>
        </w:rPr>
        <w:t>牢固树立节约光荣、浪费可耻的用水理念,让更多青年学生成为节约用水的传播者、实践者和示范者，为推动节水型校园创建工作上新台阶贡献青春力量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3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</w:rPr>
        <w:t>2023年“地球一小时”活动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2023年3月25日20∶30-21∶30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全球将迎来第17个“地球一小时”活动日，本次活动主题为：</w:t>
      </w:r>
      <w:r>
        <w:rPr>
          <w:rStyle w:val="8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“为地球献出一小时”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。“地球一小时”是世界自然基金会（WWF）应对气候变化提出的一项倡议，希望个人、社区、企业和政府、在</w:t>
      </w:r>
      <w:r>
        <w:rPr>
          <w:rStyle w:val="8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每年3月最后一个星期六20∶30-21∶30熄灯一小时。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为深入学习贯彻习近平生态文明思想，促进人与自然和谐共生，营造节能降碳、绿色发展的浓厚氛围，助力实现碳达峰、碳中和目标。在保障安全的前提下，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结合青云谱校区的实际情况，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3月25日“地球一小时”活动当晚，从18：30－19：30时，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对青云谱校区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关闭非必要的电灯和耗电设备，为地球献出一小时，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增强师生节能意识，倡导低碳生活方式，一人熄灯一小时，或许微不足道；但每人熄灯一小时，将积溪成流，汇川成海。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三．下一步工作计划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（一）注重节能宣传教育，不断提升师生的节约意识。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（二）加强节能工作管理，严格落实年初制定的节能工作目标，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做到人人参与，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人人有责、</w:t>
      </w:r>
      <w:r>
        <w:rPr>
          <w:rFonts w:hint="eastAsia" w:ascii="仿宋" w:hAnsi="仿宋" w:eastAsia="仿宋" w:cs="仿宋"/>
          <w:kern w:val="2"/>
          <w:sz w:val="32"/>
          <w:szCs w:val="32"/>
        </w:rPr>
        <w:t>事事讲节约，营造良好的绿色低碳校园环境。力争2023年学校人均综合能耗在引导值以内。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　　　　　　　　　　　　　　　　　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　                    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364" w:firstLineChars="1364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364" w:firstLineChars="1364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364" w:firstLineChars="1364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364" w:firstLineChars="1364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校园管理处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　　　　　　　　　　　2023年4月27日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GQ0NWU0NjQ3MDJmYzM1MTNhNmViY2I0NmRhODUifQ=="/>
  </w:docVars>
  <w:rsids>
    <w:rsidRoot w:val="00E73E46"/>
    <w:rsid w:val="00181F4B"/>
    <w:rsid w:val="001E2DED"/>
    <w:rsid w:val="002520CB"/>
    <w:rsid w:val="00381FB8"/>
    <w:rsid w:val="003A4527"/>
    <w:rsid w:val="006763EE"/>
    <w:rsid w:val="00B10A1C"/>
    <w:rsid w:val="00C10AE9"/>
    <w:rsid w:val="00C118F0"/>
    <w:rsid w:val="00C70D52"/>
    <w:rsid w:val="00D645ED"/>
    <w:rsid w:val="00D94F8A"/>
    <w:rsid w:val="00DA6571"/>
    <w:rsid w:val="00E73E46"/>
    <w:rsid w:val="00F47988"/>
    <w:rsid w:val="00FC58ED"/>
    <w:rsid w:val="01BD1AA0"/>
    <w:rsid w:val="02046CE9"/>
    <w:rsid w:val="031531C5"/>
    <w:rsid w:val="093337F1"/>
    <w:rsid w:val="0C561A73"/>
    <w:rsid w:val="12EA0AEC"/>
    <w:rsid w:val="148047D4"/>
    <w:rsid w:val="159A12E4"/>
    <w:rsid w:val="15CB1624"/>
    <w:rsid w:val="162A7845"/>
    <w:rsid w:val="17772CEE"/>
    <w:rsid w:val="1894739A"/>
    <w:rsid w:val="18D019BE"/>
    <w:rsid w:val="18D27072"/>
    <w:rsid w:val="19530EC8"/>
    <w:rsid w:val="1A664D42"/>
    <w:rsid w:val="1CE6543B"/>
    <w:rsid w:val="1DB8660E"/>
    <w:rsid w:val="1FE2697F"/>
    <w:rsid w:val="21117594"/>
    <w:rsid w:val="21BE3FEE"/>
    <w:rsid w:val="22F56597"/>
    <w:rsid w:val="25E64E99"/>
    <w:rsid w:val="270915DA"/>
    <w:rsid w:val="2A526FE9"/>
    <w:rsid w:val="2EC55072"/>
    <w:rsid w:val="2EC63926"/>
    <w:rsid w:val="3086662F"/>
    <w:rsid w:val="31DA730C"/>
    <w:rsid w:val="32691ED2"/>
    <w:rsid w:val="38320053"/>
    <w:rsid w:val="38F04AE5"/>
    <w:rsid w:val="38FA4CDF"/>
    <w:rsid w:val="393E70C3"/>
    <w:rsid w:val="397C03FB"/>
    <w:rsid w:val="3DBC3AED"/>
    <w:rsid w:val="3F3A2566"/>
    <w:rsid w:val="3F3E6DD2"/>
    <w:rsid w:val="3FE43ABA"/>
    <w:rsid w:val="41936B69"/>
    <w:rsid w:val="4208743F"/>
    <w:rsid w:val="438D29B7"/>
    <w:rsid w:val="440670B9"/>
    <w:rsid w:val="49CD613A"/>
    <w:rsid w:val="4C2C6BA9"/>
    <w:rsid w:val="4CC44A76"/>
    <w:rsid w:val="4D680702"/>
    <w:rsid w:val="4DAE6900"/>
    <w:rsid w:val="4E512EC6"/>
    <w:rsid w:val="4EC36C2F"/>
    <w:rsid w:val="519B0E65"/>
    <w:rsid w:val="54F76F6A"/>
    <w:rsid w:val="56E8111F"/>
    <w:rsid w:val="57CD10AC"/>
    <w:rsid w:val="59A10231"/>
    <w:rsid w:val="5AE527FB"/>
    <w:rsid w:val="5ED2111B"/>
    <w:rsid w:val="610D5182"/>
    <w:rsid w:val="638C5A7A"/>
    <w:rsid w:val="643A3317"/>
    <w:rsid w:val="676D49B3"/>
    <w:rsid w:val="67D85766"/>
    <w:rsid w:val="686A7A37"/>
    <w:rsid w:val="6A857E16"/>
    <w:rsid w:val="6BB40246"/>
    <w:rsid w:val="6D8F5E95"/>
    <w:rsid w:val="6E8F58D4"/>
    <w:rsid w:val="6F746AE1"/>
    <w:rsid w:val="70577007"/>
    <w:rsid w:val="70BA4D61"/>
    <w:rsid w:val="71771621"/>
    <w:rsid w:val="75494945"/>
    <w:rsid w:val="76F5407E"/>
    <w:rsid w:val="784D2A41"/>
    <w:rsid w:val="789F6904"/>
    <w:rsid w:val="79A94AFE"/>
    <w:rsid w:val="7A26699F"/>
    <w:rsid w:val="7BF06106"/>
    <w:rsid w:val="7C497E78"/>
    <w:rsid w:val="7F3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1832</Words>
  <Characters>2084</Characters>
  <Lines>9</Lines>
  <Paragraphs>2</Paragraphs>
  <TotalTime>50</TotalTime>
  <ScaleCrop>false</ScaleCrop>
  <LinksUpToDate>false</LinksUpToDate>
  <CharactersWithSpaces>2147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2019-04-08T02:49:00Z</dcterms:created>
  <dc:creator>Administrator</dc:creator>
  <cp:lastModifiedBy>孙冬生</cp:lastModifiedBy>
  <cp:lastPrinted>2020-07-16T02:50:00Z</cp:lastPrinted>
  <dcterms:modified xsi:type="dcterms:W3CDTF">2023-04-28T06:23:56Z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02B95760B9E04D2A9A9CE4EC4EF95C1E</vt:lpwstr>
  </property>
  <property fmtid="{D5CDD505-2E9C-101B-9397-08002B2CF9AE}" pid="4" name="commondata">
    <vt:lpwstr>eyJoZGlkIjoiMjQ2ODUyODA0MWRmOTk4MmJjMDcxNmE4ZDJjMzk2ZDgifQ==</vt:lpwstr>
  </property>
</Properties>
</file>